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69401" w14:textId="1BF36F08" w:rsidR="00CF6647" w:rsidRDefault="00CF6647" w:rsidP="00CF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 w:rsidRPr="00E64927">
        <w:rPr>
          <w:rFonts w:ascii="Calibri" w:eastAsia="Calibri" w:hAnsi="Calibri" w:cs="Calibri"/>
          <w:b/>
          <w:noProof/>
          <w:sz w:val="28"/>
          <w:szCs w:val="28"/>
          <w:lang w:eastAsia="lv-LV"/>
        </w:rPr>
        <w:drawing>
          <wp:inline distT="0" distB="0" distL="0" distR="0" wp14:anchorId="709765FF" wp14:editId="7B30D8A0">
            <wp:extent cx="5276850" cy="8382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DFD209" w14:textId="77777777" w:rsidR="00CF6647" w:rsidRPr="00E64927" w:rsidRDefault="00CF6647" w:rsidP="00CF6647">
      <w:pPr>
        <w:spacing w:after="0" w:line="240" w:lineRule="auto"/>
        <w:ind w:left="142"/>
        <w:jc w:val="center"/>
        <w:rPr>
          <w:sz w:val="18"/>
          <w:szCs w:val="18"/>
        </w:rPr>
      </w:pPr>
      <w:r w:rsidRPr="00E64927">
        <w:rPr>
          <w:b/>
        </w:rPr>
        <w:t>Eiropas Sociālā fonda projekta Nr.9.2.6.0/17/I/001</w:t>
      </w:r>
      <w:r w:rsidRPr="00E64927">
        <w:rPr>
          <w:b/>
          <w:i/>
        </w:rPr>
        <w:t xml:space="preserve"> </w:t>
      </w:r>
      <w:r w:rsidRPr="00E64927">
        <w:rPr>
          <w:b/>
        </w:rPr>
        <w:t>“Ārstniecības un ārstniecības atbalsta personāla kvalifikācijas uzlabošana”</w:t>
      </w:r>
    </w:p>
    <w:p w14:paraId="64F757F3" w14:textId="77777777" w:rsidR="00CF6647" w:rsidRPr="00CF6647" w:rsidRDefault="00CF6647" w:rsidP="002E6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D05741" w14:textId="77777777" w:rsidR="00CF6647" w:rsidRPr="00BA02E7" w:rsidRDefault="007476DE" w:rsidP="00CF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E7">
        <w:rPr>
          <w:rFonts w:ascii="Times New Roman" w:hAnsi="Times New Roman" w:cs="Times New Roman"/>
          <w:b/>
          <w:sz w:val="28"/>
          <w:szCs w:val="28"/>
        </w:rPr>
        <w:t xml:space="preserve">“Biežāko pārtikas nepanesību diagnostika un ārstēšana bērniem primārajā aprūpē un slimnīcas etapā. </w:t>
      </w:r>
    </w:p>
    <w:p w14:paraId="3C1ACD6D" w14:textId="42121979" w:rsidR="002E6FA9" w:rsidRDefault="007476DE" w:rsidP="00CF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76DE">
        <w:rPr>
          <w:rFonts w:ascii="Times New Roman" w:hAnsi="Times New Roman" w:cs="Times New Roman"/>
          <w:b/>
          <w:sz w:val="28"/>
          <w:szCs w:val="28"/>
          <w:lang w:val="en-US"/>
        </w:rPr>
        <w:t>Uztura bagātinātāju lietošanas lietderība”</w:t>
      </w:r>
    </w:p>
    <w:p w14:paraId="4B67FE70" w14:textId="77777777" w:rsidR="00CF6647" w:rsidRDefault="00CF6647" w:rsidP="00CF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37" w:type="dxa"/>
        <w:tblInd w:w="-1090" w:type="dxa"/>
        <w:tblLook w:val="04A0" w:firstRow="1" w:lastRow="0" w:firstColumn="1" w:lastColumn="0" w:noHBand="0" w:noVBand="1"/>
      </w:tblPr>
      <w:tblGrid>
        <w:gridCol w:w="1773"/>
        <w:gridCol w:w="6938"/>
        <w:gridCol w:w="2126"/>
      </w:tblGrid>
      <w:tr w:rsidR="00042ED3" w:rsidRPr="002458B4" w14:paraId="0D6F7D60" w14:textId="77777777" w:rsidTr="00DF4F48">
        <w:tc>
          <w:tcPr>
            <w:tcW w:w="1773" w:type="dxa"/>
          </w:tcPr>
          <w:p w14:paraId="5A7C141F" w14:textId="77777777" w:rsidR="00042ED3" w:rsidRPr="002458B4" w:rsidRDefault="00042ED3" w:rsidP="00DF4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6938" w:type="dxa"/>
          </w:tcPr>
          <w:p w14:paraId="651CD010" w14:textId="77777777" w:rsidR="00042ED3" w:rsidRPr="002458B4" w:rsidRDefault="00042ED3" w:rsidP="00DF4F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Tēma</w:t>
            </w:r>
          </w:p>
        </w:tc>
        <w:tc>
          <w:tcPr>
            <w:tcW w:w="2126" w:type="dxa"/>
          </w:tcPr>
          <w:p w14:paraId="1D66D7BF" w14:textId="77777777" w:rsidR="00042ED3" w:rsidRPr="002458B4" w:rsidRDefault="00042ED3" w:rsidP="00DF4F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Lektors</w:t>
            </w:r>
          </w:p>
        </w:tc>
      </w:tr>
      <w:tr w:rsidR="00042ED3" w:rsidRPr="002458B4" w14:paraId="1A4097C3" w14:textId="77777777" w:rsidTr="00DF4F48">
        <w:tc>
          <w:tcPr>
            <w:tcW w:w="10837" w:type="dxa"/>
            <w:gridSpan w:val="3"/>
          </w:tcPr>
          <w:p w14:paraId="09298E31" w14:textId="63A47E7B" w:rsidR="00042ED3" w:rsidRPr="002458B4" w:rsidRDefault="001F5162" w:rsidP="00DF4F48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42ED3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.diena </w:t>
            </w:r>
            <w:r w:rsidR="004E7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042ED3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E7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septembris</w:t>
            </w:r>
            <w:r w:rsidR="00042ED3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</w:t>
            </w:r>
            <w:r w:rsidR="00042E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42ED3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42ED3" w:rsidRPr="00367B4D" w14:paraId="0DC42491" w14:textId="77777777" w:rsidTr="00DF4F48">
        <w:tc>
          <w:tcPr>
            <w:tcW w:w="1773" w:type="dxa"/>
          </w:tcPr>
          <w:p w14:paraId="3B0AE2E4" w14:textId="77777777" w:rsidR="00042ED3" w:rsidRPr="00367B4D" w:rsidRDefault="00042ED3" w:rsidP="00DF4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  <w:p w14:paraId="2BAF1082" w14:textId="77777777" w:rsidR="00042ED3" w:rsidRPr="00367B4D" w:rsidRDefault="00042ED3" w:rsidP="00DF4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(90 min)</w:t>
            </w:r>
          </w:p>
        </w:tc>
        <w:tc>
          <w:tcPr>
            <w:tcW w:w="6938" w:type="dxa"/>
          </w:tcPr>
          <w:p w14:paraId="7619103C" w14:textId="77777777" w:rsidR="00042ED3" w:rsidRPr="00367B4D" w:rsidRDefault="00042ED3" w:rsidP="00DF4F48">
            <w:pPr>
              <w:pStyle w:val="ListParagraph"/>
              <w:ind w:left="0"/>
              <w:rPr>
                <w:b/>
              </w:rPr>
            </w:pPr>
            <w:r w:rsidRPr="00367B4D">
              <w:rPr>
                <w:b/>
              </w:rPr>
              <w:t xml:space="preserve">Alerģijas definīcija. Terminoloģija. Alerģisko reakciju klasifikācija. </w:t>
            </w:r>
            <w:r w:rsidRPr="00367B4D">
              <w:t xml:space="preserve">Alergēni. Atopija. Anafilakse. </w:t>
            </w:r>
          </w:p>
          <w:p w14:paraId="3A90B2CD" w14:textId="77777777" w:rsidR="00042ED3" w:rsidRPr="00367B4D" w:rsidRDefault="00042ED3" w:rsidP="00DF4F48">
            <w:pPr>
              <w:pStyle w:val="ListParagraph"/>
              <w:ind w:left="0"/>
              <w:rPr>
                <w:iCs/>
              </w:rPr>
            </w:pPr>
            <w:r w:rsidRPr="00367B4D">
              <w:rPr>
                <w:iCs/>
              </w:rPr>
              <w:t>Diskusija.</w:t>
            </w:r>
          </w:p>
        </w:tc>
        <w:tc>
          <w:tcPr>
            <w:tcW w:w="2126" w:type="dxa"/>
          </w:tcPr>
          <w:p w14:paraId="5C28369E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Dace Kārkliņa</w:t>
            </w:r>
          </w:p>
        </w:tc>
      </w:tr>
      <w:tr w:rsidR="00042ED3" w:rsidRPr="00367B4D" w14:paraId="6828E051" w14:textId="77777777" w:rsidTr="00DF4F48">
        <w:tc>
          <w:tcPr>
            <w:tcW w:w="1773" w:type="dxa"/>
          </w:tcPr>
          <w:p w14:paraId="38BB87FF" w14:textId="77777777" w:rsidR="00042ED3" w:rsidRPr="00367B4D" w:rsidRDefault="00042ED3" w:rsidP="00DF4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10.30 -11.00</w:t>
            </w:r>
          </w:p>
          <w:p w14:paraId="0D5D19C1" w14:textId="77777777" w:rsidR="00042ED3" w:rsidRPr="00367B4D" w:rsidRDefault="00042ED3" w:rsidP="00DF4F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14:paraId="47B1CBF7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Pārtraukums</w:t>
            </w:r>
          </w:p>
        </w:tc>
        <w:tc>
          <w:tcPr>
            <w:tcW w:w="2126" w:type="dxa"/>
          </w:tcPr>
          <w:p w14:paraId="0AEAAE2E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D3" w:rsidRPr="00367B4D" w14:paraId="2E3F8CFC" w14:textId="77777777" w:rsidTr="00DF4F48">
        <w:tc>
          <w:tcPr>
            <w:tcW w:w="1773" w:type="dxa"/>
          </w:tcPr>
          <w:p w14:paraId="033279D1" w14:textId="77777777" w:rsidR="00042ED3" w:rsidRPr="00367B4D" w:rsidRDefault="00042ED3" w:rsidP="00D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11.00 –12.30</w:t>
            </w:r>
          </w:p>
          <w:p w14:paraId="4277FA1A" w14:textId="77777777" w:rsidR="00042ED3" w:rsidRPr="00367B4D" w:rsidRDefault="00042ED3" w:rsidP="00D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(90 min)</w:t>
            </w:r>
          </w:p>
        </w:tc>
        <w:tc>
          <w:tcPr>
            <w:tcW w:w="6938" w:type="dxa"/>
          </w:tcPr>
          <w:p w14:paraId="0FC2939D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Alerģiskās reakcijas pret uzturu. </w:t>
            </w:r>
          </w:p>
          <w:p w14:paraId="36A5A230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iCs/>
                <w:sz w:val="24"/>
                <w:szCs w:val="24"/>
              </w:rPr>
              <w:t>Uztura alerģija. Uztura izraisīto hipersensitīvo reakciju klasifikācija un patoģenēze.</w:t>
            </w:r>
          </w:p>
          <w:p w14:paraId="0B4BCF1A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iCs/>
                <w:sz w:val="24"/>
                <w:szCs w:val="24"/>
              </w:rPr>
              <w:t>Diskusija.</w:t>
            </w:r>
          </w:p>
        </w:tc>
        <w:tc>
          <w:tcPr>
            <w:tcW w:w="2126" w:type="dxa"/>
          </w:tcPr>
          <w:p w14:paraId="7654CCBE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Dace Kārkliņa</w:t>
            </w:r>
          </w:p>
        </w:tc>
      </w:tr>
      <w:tr w:rsidR="00042ED3" w:rsidRPr="00367B4D" w14:paraId="55B73EA9" w14:textId="77777777" w:rsidTr="00DF4F48">
        <w:tc>
          <w:tcPr>
            <w:tcW w:w="1773" w:type="dxa"/>
          </w:tcPr>
          <w:p w14:paraId="5710720B" w14:textId="77777777" w:rsidR="00042ED3" w:rsidRPr="00367B4D" w:rsidRDefault="00042ED3" w:rsidP="00DF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 – 13.30</w:t>
            </w:r>
          </w:p>
        </w:tc>
        <w:tc>
          <w:tcPr>
            <w:tcW w:w="6938" w:type="dxa"/>
          </w:tcPr>
          <w:p w14:paraId="2CF3E950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Pārtraukums</w:t>
            </w:r>
          </w:p>
        </w:tc>
        <w:tc>
          <w:tcPr>
            <w:tcW w:w="2126" w:type="dxa"/>
          </w:tcPr>
          <w:p w14:paraId="244A6952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D3" w:rsidRPr="00367B4D" w14:paraId="0F0A4B1F" w14:textId="77777777" w:rsidTr="00DF4F48">
        <w:tc>
          <w:tcPr>
            <w:tcW w:w="1773" w:type="dxa"/>
          </w:tcPr>
          <w:p w14:paraId="71EBCB5C" w14:textId="77777777" w:rsidR="00042ED3" w:rsidRPr="00367B4D" w:rsidRDefault="00042ED3" w:rsidP="00DF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  <w:p w14:paraId="7DE56CD3" w14:textId="77777777" w:rsidR="00042ED3" w:rsidRPr="00367B4D" w:rsidRDefault="00042ED3" w:rsidP="00DF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658CC3C6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Uztura alerģijas diagnostika. </w:t>
            </w:r>
          </w:p>
          <w:p w14:paraId="643F7D23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Anamnēzes ievākšanas nozīmība. Ādas testi. Laboratoriskie izmeklējumi. Diagnostiskais izslēgšanas- provokācijas tests.</w:t>
            </w:r>
          </w:p>
          <w:p w14:paraId="72B08B5E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Diskusija.</w:t>
            </w:r>
          </w:p>
        </w:tc>
        <w:tc>
          <w:tcPr>
            <w:tcW w:w="2126" w:type="dxa"/>
          </w:tcPr>
          <w:p w14:paraId="79DF8550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Dace Kārkliņa</w:t>
            </w:r>
          </w:p>
        </w:tc>
      </w:tr>
      <w:tr w:rsidR="00042ED3" w:rsidRPr="00367B4D" w14:paraId="7471F65D" w14:textId="77777777" w:rsidTr="00DF4F48">
        <w:tc>
          <w:tcPr>
            <w:tcW w:w="1773" w:type="dxa"/>
          </w:tcPr>
          <w:p w14:paraId="18F09DE2" w14:textId="77777777" w:rsidR="00042ED3" w:rsidRPr="00367B4D" w:rsidRDefault="00042ED3" w:rsidP="00DF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14.15– 15.00</w:t>
            </w:r>
          </w:p>
          <w:p w14:paraId="61E5B4BA" w14:textId="77777777" w:rsidR="00042ED3" w:rsidRPr="00367B4D" w:rsidRDefault="00042ED3" w:rsidP="00DF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4453244E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Atopiskais dermatīts. </w:t>
            </w:r>
          </w:p>
          <w:p w14:paraId="44A48AEB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Definīcija, Etioloģija, Patoģenēze. Klīniskā aina, Diagnostika, Diferenciāldiagnostika, Terapija.</w:t>
            </w:r>
          </w:p>
          <w:p w14:paraId="77723741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Cs/>
                <w:sz w:val="24"/>
                <w:szCs w:val="24"/>
              </w:rPr>
              <w:t>Diskusija.</w:t>
            </w:r>
          </w:p>
        </w:tc>
        <w:tc>
          <w:tcPr>
            <w:tcW w:w="2126" w:type="dxa"/>
          </w:tcPr>
          <w:p w14:paraId="73BEA94D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Dace Kārkliņa</w:t>
            </w:r>
          </w:p>
        </w:tc>
      </w:tr>
      <w:tr w:rsidR="00042ED3" w:rsidRPr="00367B4D" w14:paraId="2A972AF4" w14:textId="77777777" w:rsidTr="00DF4F48">
        <w:tc>
          <w:tcPr>
            <w:tcW w:w="1773" w:type="dxa"/>
          </w:tcPr>
          <w:p w14:paraId="530556AE" w14:textId="77777777" w:rsidR="00042ED3" w:rsidRPr="00367B4D" w:rsidRDefault="00042ED3" w:rsidP="00DF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6938" w:type="dxa"/>
          </w:tcPr>
          <w:p w14:paraId="0EDB25A9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>Pārtraukums</w:t>
            </w:r>
          </w:p>
        </w:tc>
        <w:tc>
          <w:tcPr>
            <w:tcW w:w="2126" w:type="dxa"/>
          </w:tcPr>
          <w:p w14:paraId="08406CB6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D3" w:rsidRPr="00367B4D" w14:paraId="032F8FCC" w14:textId="77777777" w:rsidTr="00DF4F48">
        <w:tc>
          <w:tcPr>
            <w:tcW w:w="1773" w:type="dxa"/>
          </w:tcPr>
          <w:p w14:paraId="0457AC42" w14:textId="77777777" w:rsidR="00042ED3" w:rsidRPr="00367B4D" w:rsidRDefault="00042ED3" w:rsidP="00DF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15.30 – 17:00</w:t>
            </w:r>
          </w:p>
          <w:p w14:paraId="32781CBF" w14:textId="77777777" w:rsidR="00042ED3" w:rsidRPr="00367B4D" w:rsidRDefault="00042ED3" w:rsidP="00DF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(90 min)</w:t>
            </w:r>
          </w:p>
        </w:tc>
        <w:tc>
          <w:tcPr>
            <w:tcW w:w="6938" w:type="dxa"/>
          </w:tcPr>
          <w:p w14:paraId="44F38AC7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Darbs grupās - </w:t>
            </w:r>
            <w:r w:rsidRPr="00367B4D">
              <w:rPr>
                <w:rFonts w:ascii="Times New Roman" w:hAnsi="Times New Roman" w:cs="Times New Roman"/>
                <w:iCs/>
                <w:sz w:val="24"/>
                <w:szCs w:val="24"/>
              </w:rPr>
              <w:t>Situāciju uzdevumi</w:t>
            </w:r>
            <w:r w:rsidRPr="00367B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E1FC165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Patstāvīgais darbs </w:t>
            </w:r>
          </w:p>
          <w:p w14:paraId="334B1603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Pārrunas par rezultātiem</w:t>
            </w:r>
          </w:p>
        </w:tc>
        <w:tc>
          <w:tcPr>
            <w:tcW w:w="2126" w:type="dxa"/>
          </w:tcPr>
          <w:p w14:paraId="62982E28" w14:textId="77777777" w:rsidR="00042ED3" w:rsidRPr="00367B4D" w:rsidRDefault="00042ED3" w:rsidP="00DF4F4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Dace Kārkliņa</w:t>
            </w:r>
          </w:p>
        </w:tc>
      </w:tr>
    </w:tbl>
    <w:p w14:paraId="6FED175D" w14:textId="77777777" w:rsidR="00042ED3" w:rsidRDefault="00042ED3" w:rsidP="00CF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3E5629" w14:textId="77777777" w:rsidR="00042ED3" w:rsidRPr="007476DE" w:rsidRDefault="00042ED3" w:rsidP="00CF66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837" w:type="dxa"/>
        <w:tblInd w:w="-1090" w:type="dxa"/>
        <w:tblLook w:val="04A0" w:firstRow="1" w:lastRow="0" w:firstColumn="1" w:lastColumn="0" w:noHBand="0" w:noVBand="1"/>
      </w:tblPr>
      <w:tblGrid>
        <w:gridCol w:w="1773"/>
        <w:gridCol w:w="6938"/>
        <w:gridCol w:w="2126"/>
      </w:tblGrid>
      <w:tr w:rsidR="002E6FA9" w:rsidRPr="00367B4D" w14:paraId="4F396BCC" w14:textId="77777777" w:rsidTr="006D434D">
        <w:tc>
          <w:tcPr>
            <w:tcW w:w="1773" w:type="dxa"/>
          </w:tcPr>
          <w:p w14:paraId="6B479301" w14:textId="77777777" w:rsidR="002E6FA9" w:rsidRPr="00367B4D" w:rsidRDefault="002E6FA9" w:rsidP="00367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Laiks</w:t>
            </w:r>
          </w:p>
        </w:tc>
        <w:tc>
          <w:tcPr>
            <w:tcW w:w="6938" w:type="dxa"/>
          </w:tcPr>
          <w:p w14:paraId="33DF8759" w14:textId="77777777" w:rsidR="002E6FA9" w:rsidRPr="00367B4D" w:rsidRDefault="002E6FA9" w:rsidP="00367B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Tēma</w:t>
            </w:r>
          </w:p>
        </w:tc>
        <w:tc>
          <w:tcPr>
            <w:tcW w:w="2126" w:type="dxa"/>
          </w:tcPr>
          <w:p w14:paraId="21583015" w14:textId="5BC1DC5A" w:rsidR="002E6FA9" w:rsidRPr="00367B4D" w:rsidRDefault="00367B4D" w:rsidP="00367B4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2E6FA9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ektors</w:t>
            </w:r>
          </w:p>
        </w:tc>
      </w:tr>
      <w:tr w:rsidR="002E6FA9" w:rsidRPr="00367B4D" w14:paraId="58466573" w14:textId="77777777" w:rsidTr="006D434D">
        <w:tc>
          <w:tcPr>
            <w:tcW w:w="10837" w:type="dxa"/>
            <w:gridSpan w:val="3"/>
          </w:tcPr>
          <w:p w14:paraId="68E9469A" w14:textId="641A6D0E" w:rsidR="002E6FA9" w:rsidRPr="00367B4D" w:rsidRDefault="00C10FE9" w:rsidP="00367B4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7B4D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.d</w:t>
            </w:r>
            <w:r w:rsidR="002E6FA9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iena</w:t>
            </w:r>
            <w:r w:rsidR="008363E5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C9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363E5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septembris</w:t>
            </w:r>
            <w:r w:rsidR="00F9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363E5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B33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363E5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2E6FA9" w:rsidRPr="00367B4D" w14:paraId="566CE1C1" w14:textId="77777777" w:rsidTr="006D434D">
        <w:tc>
          <w:tcPr>
            <w:tcW w:w="1773" w:type="dxa"/>
          </w:tcPr>
          <w:p w14:paraId="1FAECF03" w14:textId="77777777" w:rsidR="002E6FA9" w:rsidRPr="00367B4D" w:rsidRDefault="002E6FA9" w:rsidP="00910A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9.00 – 9.45</w:t>
            </w:r>
          </w:p>
          <w:p w14:paraId="10485E97" w14:textId="77777777" w:rsidR="002E6FA9" w:rsidRPr="00367B4D" w:rsidRDefault="002E6FA9" w:rsidP="00910A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436178AF" w14:textId="77777777" w:rsidR="007476DE" w:rsidRPr="00367B4D" w:rsidRDefault="007476DE" w:rsidP="007476DE">
            <w:pPr>
              <w:pStyle w:val="ListParagraph"/>
              <w:ind w:left="0"/>
              <w:rPr>
                <w:b/>
              </w:rPr>
            </w:pPr>
            <w:r w:rsidRPr="00367B4D">
              <w:rPr>
                <w:b/>
              </w:rPr>
              <w:t>Pārtikas nepanesības;</w:t>
            </w:r>
          </w:p>
          <w:p w14:paraId="0D5FA366" w14:textId="77777777" w:rsidR="007476DE" w:rsidRPr="00367B4D" w:rsidRDefault="007476DE" w:rsidP="007476DE">
            <w:pPr>
              <w:pStyle w:val="ListParagraph"/>
              <w:ind w:left="0"/>
            </w:pPr>
            <w:r w:rsidRPr="00367B4D">
              <w:t>Saslimšanas (incidence, etiopatoģenēze, klīniskā aina, Dg, ārstēšanas principi);</w:t>
            </w:r>
          </w:p>
          <w:p w14:paraId="290C4105" w14:textId="77777777" w:rsidR="00523EE7" w:rsidRPr="00367B4D" w:rsidRDefault="00523EE7" w:rsidP="00523EE7">
            <w:pPr>
              <w:pStyle w:val="ListParagraph"/>
              <w:ind w:left="0"/>
            </w:pPr>
            <w:r w:rsidRPr="00367B4D">
              <w:rPr>
                <w:b/>
              </w:rPr>
              <w:lastRenderedPageBreak/>
              <w:t>Toksiskās reakcijas-</w:t>
            </w:r>
            <w:r w:rsidRPr="00367B4D">
              <w:t xml:space="preserve"> stafilokoku toksīns (incidence, etiopatoģenēze, klīniskā aina, Dg, ārstēšanas principi);</w:t>
            </w:r>
          </w:p>
          <w:p w14:paraId="4EFC5F10" w14:textId="77777777" w:rsidR="002E6FA9" w:rsidRPr="00367B4D" w:rsidRDefault="00523EE7" w:rsidP="00523EE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>Netoksiskās reakcijas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– biogēnie amīni (incidence, etiopatoģenēze, klīniskā aina, Dg, ārstēšanas principi);</w:t>
            </w:r>
          </w:p>
          <w:p w14:paraId="562722CC" w14:textId="68928FA0" w:rsidR="00367B4D" w:rsidRPr="00367B4D" w:rsidRDefault="00367B4D" w:rsidP="00523EE7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iCs/>
                <w:sz w:val="24"/>
                <w:szCs w:val="24"/>
              </w:rPr>
              <w:t>Diskusija.</w:t>
            </w:r>
          </w:p>
        </w:tc>
        <w:tc>
          <w:tcPr>
            <w:tcW w:w="2126" w:type="dxa"/>
          </w:tcPr>
          <w:p w14:paraId="366EDEFA" w14:textId="77777777" w:rsidR="002E6FA9" w:rsidRPr="00367B4D" w:rsidRDefault="002E6FA9" w:rsidP="007476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7476DE" w:rsidRPr="00367B4D">
              <w:rPr>
                <w:rFonts w:ascii="Times New Roman" w:hAnsi="Times New Roman" w:cs="Times New Roman"/>
                <w:sz w:val="24"/>
                <w:szCs w:val="24"/>
              </w:rPr>
              <w:t>Gunta Zirnīte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6FA9" w:rsidRPr="00367B4D" w14:paraId="383E448E" w14:textId="77777777" w:rsidTr="006D434D">
        <w:tc>
          <w:tcPr>
            <w:tcW w:w="1773" w:type="dxa"/>
          </w:tcPr>
          <w:p w14:paraId="2A1D8726" w14:textId="77777777" w:rsidR="002E6FA9" w:rsidRPr="00367B4D" w:rsidRDefault="002E6FA9" w:rsidP="00910A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9.45 – 10.30</w:t>
            </w:r>
          </w:p>
          <w:p w14:paraId="49D69512" w14:textId="77777777" w:rsidR="002E6FA9" w:rsidRPr="00367B4D" w:rsidRDefault="002E6FA9" w:rsidP="00910A3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4821AC54" w14:textId="77777777" w:rsidR="0036535C" w:rsidRPr="00367B4D" w:rsidRDefault="0036535C" w:rsidP="003653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>Metabolās saslimšanas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DCF5B8" w14:textId="77777777" w:rsidR="0036535C" w:rsidRPr="00367B4D" w:rsidRDefault="0036535C" w:rsidP="003653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Laktozes intolerance (incidence, etiopatoģenēze, klīniskā aina, Dg, ārstēšanas principi);</w:t>
            </w:r>
          </w:p>
          <w:p w14:paraId="0DCB8091" w14:textId="77777777" w:rsidR="0036535C" w:rsidRPr="00367B4D" w:rsidRDefault="0036535C" w:rsidP="0036535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Galaktozēmija (incidence, etiopatoģenēze, klīniskā aina, Dg, ārstēšanas principi);</w:t>
            </w:r>
          </w:p>
          <w:p w14:paraId="531003A8" w14:textId="77777777" w:rsidR="0036535C" w:rsidRPr="00367B4D" w:rsidRDefault="0036535C" w:rsidP="0036535C">
            <w:pPr>
              <w:pStyle w:val="ListParagraph"/>
              <w:ind w:left="0"/>
            </w:pPr>
            <w:r w:rsidRPr="00367B4D">
              <w:t>Fruktozes intolerance (incidence, etiopatoģenēze, klīniskā aina, Dg, ārstēšanas principi);</w:t>
            </w:r>
          </w:p>
          <w:p w14:paraId="28691ABA" w14:textId="77777777" w:rsidR="002C4BCA" w:rsidRPr="00367B4D" w:rsidRDefault="006D434D" w:rsidP="002C4BCA">
            <w:pPr>
              <w:pStyle w:val="ListParagraph"/>
              <w:ind w:left="0"/>
              <w:rPr>
                <w:iCs/>
              </w:rPr>
            </w:pPr>
            <w:r w:rsidRPr="00367B4D">
              <w:rPr>
                <w:iCs/>
              </w:rPr>
              <w:t>Diskusija.</w:t>
            </w:r>
          </w:p>
        </w:tc>
        <w:tc>
          <w:tcPr>
            <w:tcW w:w="2126" w:type="dxa"/>
          </w:tcPr>
          <w:p w14:paraId="63330B1D" w14:textId="77777777" w:rsidR="002E6FA9" w:rsidRPr="00367B4D" w:rsidRDefault="007476DE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Gunta Zirnīte</w:t>
            </w:r>
          </w:p>
        </w:tc>
      </w:tr>
      <w:tr w:rsidR="002E6FA9" w:rsidRPr="00367B4D" w14:paraId="0DCF9C8A" w14:textId="77777777" w:rsidTr="006D434D">
        <w:tc>
          <w:tcPr>
            <w:tcW w:w="1773" w:type="dxa"/>
          </w:tcPr>
          <w:p w14:paraId="47D8E070" w14:textId="572722FD" w:rsidR="002E6FA9" w:rsidRPr="00367B4D" w:rsidRDefault="002E6FA9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10.30 -1</w:t>
            </w:r>
            <w:r w:rsidR="00D36214"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36214"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</w:tc>
        <w:tc>
          <w:tcPr>
            <w:tcW w:w="6938" w:type="dxa"/>
          </w:tcPr>
          <w:p w14:paraId="66271542" w14:textId="1D19332C" w:rsidR="002E6FA9" w:rsidRPr="00367B4D" w:rsidRDefault="00951BC9" w:rsidP="00910A35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Pārtraukums</w:t>
            </w:r>
          </w:p>
        </w:tc>
        <w:tc>
          <w:tcPr>
            <w:tcW w:w="2126" w:type="dxa"/>
          </w:tcPr>
          <w:p w14:paraId="04676663" w14:textId="77777777" w:rsidR="002E6FA9" w:rsidRPr="00367B4D" w:rsidRDefault="002E6FA9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367B4D" w14:paraId="37DEB23E" w14:textId="77777777" w:rsidTr="006D434D">
        <w:tc>
          <w:tcPr>
            <w:tcW w:w="1773" w:type="dxa"/>
          </w:tcPr>
          <w:p w14:paraId="70B512ED" w14:textId="004BE107" w:rsidR="002E6FA9" w:rsidRPr="00367B4D" w:rsidRDefault="002E6FA9" w:rsidP="0091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36214"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D36214"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–12.</w:t>
            </w:r>
            <w:r w:rsidR="00D36214"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  <w:p w14:paraId="6DA40229" w14:textId="77777777" w:rsidR="002E6FA9" w:rsidRPr="00367B4D" w:rsidRDefault="002E6FA9" w:rsidP="0091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(90 min)</w:t>
            </w:r>
          </w:p>
        </w:tc>
        <w:tc>
          <w:tcPr>
            <w:tcW w:w="6938" w:type="dxa"/>
          </w:tcPr>
          <w:p w14:paraId="47F3C6AC" w14:textId="77777777" w:rsidR="0036535C" w:rsidRPr="00367B4D" w:rsidRDefault="0036535C" w:rsidP="0036535C">
            <w:pPr>
              <w:pStyle w:val="ListParagraph"/>
              <w:ind w:left="0"/>
              <w:rPr>
                <w:i/>
              </w:rPr>
            </w:pPr>
            <w:r w:rsidRPr="00367B4D">
              <w:rPr>
                <w:b/>
              </w:rPr>
              <w:t>Ar glutēnu saistītas slimības</w:t>
            </w:r>
            <w:r w:rsidRPr="00367B4D">
              <w:t xml:space="preserve"> </w:t>
            </w:r>
          </w:p>
          <w:p w14:paraId="6E197DFD" w14:textId="77777777" w:rsidR="0036535C" w:rsidRPr="00367B4D" w:rsidRDefault="0036535C" w:rsidP="0036535C">
            <w:pPr>
              <w:pStyle w:val="ListParagraph"/>
              <w:ind w:left="0"/>
            </w:pPr>
            <w:r w:rsidRPr="00367B4D">
              <w:t>Glutēna nepanesība (incidence, etiopatoģenēze, klīniskā aina, Dg, ārstēšanas principi);</w:t>
            </w:r>
          </w:p>
          <w:p w14:paraId="63033404" w14:textId="77777777" w:rsidR="0036535C" w:rsidRPr="00367B4D" w:rsidRDefault="0036535C" w:rsidP="0036535C">
            <w:pPr>
              <w:pStyle w:val="ListParagraph"/>
              <w:ind w:left="0"/>
            </w:pPr>
            <w:r w:rsidRPr="00367B4D">
              <w:t>Kviešu olbaltuma alerģija (incidence, etiopatoģenēze, klīniskā aina, Dg, ārstēšanas principi);</w:t>
            </w:r>
          </w:p>
          <w:p w14:paraId="0CEF66E1" w14:textId="77777777" w:rsidR="0036535C" w:rsidRPr="00367B4D" w:rsidRDefault="0036535C" w:rsidP="0036535C">
            <w:pPr>
              <w:pStyle w:val="ListParagraph"/>
              <w:ind w:left="0"/>
            </w:pPr>
            <w:r w:rsidRPr="00367B4D">
              <w:t>Celiakija (incidence, etiopatoģenēze, klīniskā aina, Dg, ārstēšanas principi);</w:t>
            </w:r>
          </w:p>
          <w:p w14:paraId="574A8F04" w14:textId="77777777" w:rsidR="002E6FA9" w:rsidRPr="00367B4D" w:rsidRDefault="006D434D" w:rsidP="0036535C">
            <w:pPr>
              <w:pStyle w:val="ListParagraph"/>
              <w:ind w:left="0"/>
              <w:rPr>
                <w:iCs/>
              </w:rPr>
            </w:pPr>
            <w:r w:rsidRPr="00367B4D">
              <w:rPr>
                <w:iCs/>
              </w:rPr>
              <w:t>Diskusija.</w:t>
            </w:r>
          </w:p>
        </w:tc>
        <w:tc>
          <w:tcPr>
            <w:tcW w:w="2126" w:type="dxa"/>
          </w:tcPr>
          <w:p w14:paraId="625D7F04" w14:textId="77777777" w:rsidR="002E6FA9" w:rsidRPr="00367B4D" w:rsidRDefault="002C4BCA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Gunta Zirnīte</w:t>
            </w:r>
          </w:p>
        </w:tc>
      </w:tr>
      <w:tr w:rsidR="00D36214" w:rsidRPr="00367B4D" w14:paraId="79E94AD7" w14:textId="77777777" w:rsidTr="006D434D">
        <w:tc>
          <w:tcPr>
            <w:tcW w:w="1773" w:type="dxa"/>
          </w:tcPr>
          <w:p w14:paraId="5945D34E" w14:textId="11403CEA" w:rsidR="00D36214" w:rsidRPr="00367B4D" w:rsidRDefault="00D36214" w:rsidP="00910A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12.30. – 13.</w:t>
            </w:r>
            <w:r w:rsidR="00A6765D"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  <w:tc>
          <w:tcPr>
            <w:tcW w:w="6938" w:type="dxa"/>
          </w:tcPr>
          <w:p w14:paraId="66C84C26" w14:textId="634533F4" w:rsidR="00D36214" w:rsidRPr="00367B4D" w:rsidRDefault="00D36214" w:rsidP="0036535C">
            <w:pPr>
              <w:pStyle w:val="ListParagraph"/>
              <w:ind w:left="0"/>
              <w:rPr>
                <w:b/>
              </w:rPr>
            </w:pPr>
            <w:r w:rsidRPr="00367B4D">
              <w:rPr>
                <w:b/>
              </w:rPr>
              <w:t>Pārtraukums</w:t>
            </w:r>
          </w:p>
        </w:tc>
        <w:tc>
          <w:tcPr>
            <w:tcW w:w="2126" w:type="dxa"/>
          </w:tcPr>
          <w:p w14:paraId="2D1E2E77" w14:textId="77777777" w:rsidR="00D36214" w:rsidRPr="00367B4D" w:rsidRDefault="00D36214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FA9" w:rsidRPr="00367B4D" w14:paraId="332F297C" w14:textId="77777777" w:rsidTr="006D434D">
        <w:tc>
          <w:tcPr>
            <w:tcW w:w="1773" w:type="dxa"/>
          </w:tcPr>
          <w:p w14:paraId="7568BCAD" w14:textId="1429C9F7" w:rsidR="002E6FA9" w:rsidRPr="00367B4D" w:rsidRDefault="002E6FA9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214" w:rsidRPr="00367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D36214" w:rsidRPr="00367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4E1B35FA" w14:textId="77777777" w:rsidR="002E6FA9" w:rsidRPr="00367B4D" w:rsidRDefault="002E6FA9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04F29EDA" w14:textId="77777777" w:rsidR="00523EE7" w:rsidRPr="00367B4D" w:rsidRDefault="0036535C" w:rsidP="00910A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>IgE-mediētas saslimšanas</w:t>
            </w:r>
          </w:p>
          <w:p w14:paraId="6AC4BB4D" w14:textId="77777777" w:rsidR="0036535C" w:rsidRPr="00367B4D" w:rsidRDefault="0036535C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Govs piena olbaltuma alerģija (incidence, etiopatoģenēze, klīniskā aina, Dg, ārstēšanas principi);</w:t>
            </w:r>
          </w:p>
          <w:p w14:paraId="701F112A" w14:textId="77777777" w:rsidR="0036535C" w:rsidRPr="00367B4D" w:rsidRDefault="0036535C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Alerģisks proktokolīts (incidence, etiopatoģenēze, klīniskā aina, Dg, ārstēšanas principi);</w:t>
            </w:r>
          </w:p>
          <w:p w14:paraId="18527C53" w14:textId="281DBC76" w:rsidR="00367B4D" w:rsidRPr="00367B4D" w:rsidRDefault="00367B4D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Diskusija.</w:t>
            </w:r>
          </w:p>
        </w:tc>
        <w:tc>
          <w:tcPr>
            <w:tcW w:w="2126" w:type="dxa"/>
          </w:tcPr>
          <w:p w14:paraId="2F783FAA" w14:textId="77777777" w:rsidR="002E6FA9" w:rsidRPr="00367B4D" w:rsidRDefault="002C4BCA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Gunta Zirnīte</w:t>
            </w:r>
          </w:p>
        </w:tc>
      </w:tr>
      <w:tr w:rsidR="002E6FA9" w:rsidRPr="00367B4D" w14:paraId="63DD2BF1" w14:textId="77777777" w:rsidTr="00D36214">
        <w:trPr>
          <w:trHeight w:val="1447"/>
        </w:trPr>
        <w:tc>
          <w:tcPr>
            <w:tcW w:w="1773" w:type="dxa"/>
          </w:tcPr>
          <w:p w14:paraId="63402005" w14:textId="6444ACD9" w:rsidR="002E6FA9" w:rsidRPr="00367B4D" w:rsidRDefault="002E6FA9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214" w:rsidRPr="00367B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13A78965" w14:textId="4C61A16F" w:rsidR="002E6FA9" w:rsidRPr="00367B4D" w:rsidRDefault="002E6FA9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6214" w:rsidRPr="00367B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  <w:p w14:paraId="2E195229" w14:textId="76C0C5CD" w:rsidR="008363E5" w:rsidRPr="00367B4D" w:rsidRDefault="008363E5" w:rsidP="00836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14:paraId="1C71A96B" w14:textId="77777777" w:rsidR="007476DE" w:rsidRPr="00367B4D" w:rsidRDefault="007476DE" w:rsidP="007476DE">
            <w:pPr>
              <w:pStyle w:val="ListParagraph"/>
              <w:ind w:left="0"/>
            </w:pPr>
            <w:r w:rsidRPr="00367B4D">
              <w:rPr>
                <w:b/>
              </w:rPr>
              <w:t xml:space="preserve">Ne-IgE meditētas saslimšanas </w:t>
            </w:r>
            <w:r w:rsidRPr="00367B4D">
              <w:t>(incidence, etiopatoģenēze, klīniskā aina, Dg, ārstēšanas principi);</w:t>
            </w:r>
          </w:p>
          <w:p w14:paraId="0DA90E30" w14:textId="1B441E07" w:rsidR="006D434D" w:rsidRPr="00367B4D" w:rsidRDefault="00605CDB" w:rsidP="0060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Uztura proteīnu izraisīts enterokolītisks sindroms (UPIES) (incidence, etiopatoģenēze, klīniskā aina, Dg, ārstēšanas principi)</w:t>
            </w:r>
            <w:r w:rsidR="00367B4D"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29921284" w14:textId="1CDB853A" w:rsidR="008363E5" w:rsidRPr="00367B4D" w:rsidRDefault="002C4BCA" w:rsidP="00836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Gunta Zirnīte</w:t>
            </w:r>
          </w:p>
        </w:tc>
      </w:tr>
      <w:tr w:rsidR="00D36214" w:rsidRPr="00367B4D" w14:paraId="2C7D7415" w14:textId="77777777" w:rsidTr="00D36214">
        <w:trPr>
          <w:trHeight w:val="557"/>
        </w:trPr>
        <w:tc>
          <w:tcPr>
            <w:tcW w:w="1773" w:type="dxa"/>
          </w:tcPr>
          <w:p w14:paraId="2D8CDBE2" w14:textId="527B6AAF" w:rsidR="00D36214" w:rsidRPr="00367B4D" w:rsidRDefault="00D36214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– 15.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8" w:type="dxa"/>
          </w:tcPr>
          <w:p w14:paraId="0FDC4645" w14:textId="2407BB69" w:rsidR="00D36214" w:rsidRPr="00367B4D" w:rsidRDefault="00D36214" w:rsidP="007476DE">
            <w:pPr>
              <w:pStyle w:val="ListParagraph"/>
              <w:ind w:left="0"/>
              <w:rPr>
                <w:b/>
              </w:rPr>
            </w:pPr>
            <w:r w:rsidRPr="00367B4D">
              <w:rPr>
                <w:b/>
              </w:rPr>
              <w:t>Pārtraukums</w:t>
            </w:r>
          </w:p>
        </w:tc>
        <w:tc>
          <w:tcPr>
            <w:tcW w:w="2126" w:type="dxa"/>
          </w:tcPr>
          <w:p w14:paraId="10807E64" w14:textId="77777777" w:rsidR="00D36214" w:rsidRPr="00367B4D" w:rsidRDefault="00D36214" w:rsidP="00836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214" w:rsidRPr="00367B4D" w14:paraId="5B6508E7" w14:textId="77777777" w:rsidTr="00367B4D">
        <w:trPr>
          <w:trHeight w:val="1266"/>
        </w:trPr>
        <w:tc>
          <w:tcPr>
            <w:tcW w:w="1773" w:type="dxa"/>
          </w:tcPr>
          <w:p w14:paraId="54F184C0" w14:textId="3440047D" w:rsidR="00D36214" w:rsidRPr="00367B4D" w:rsidRDefault="00D36214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– 16.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11BEFE94" w14:textId="7C041AF9" w:rsidR="00D36214" w:rsidRPr="00367B4D" w:rsidRDefault="00D36214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40F3A5CF" w14:textId="77777777" w:rsidR="00D36214" w:rsidRPr="00367B4D" w:rsidRDefault="00D36214" w:rsidP="00D36214">
            <w:pPr>
              <w:pStyle w:val="ListParagraph"/>
              <w:ind w:left="0"/>
            </w:pPr>
            <w:r w:rsidRPr="00367B4D">
              <w:rPr>
                <w:b/>
              </w:rPr>
              <w:t xml:space="preserve">Ne-IgE meditētas saslimšanas </w:t>
            </w:r>
            <w:r w:rsidRPr="00367B4D">
              <w:t>(incidence, etiopatoģenēze, klīniskā aina, Dg, ārstēšanas principi);</w:t>
            </w:r>
          </w:p>
          <w:p w14:paraId="3DAF74BD" w14:textId="77777777" w:rsidR="00367B4D" w:rsidRPr="00367B4D" w:rsidRDefault="00D36214" w:rsidP="0036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Uztura proteīnu izraisīts enterokolītisks sindroms (UPIES) (incidence, etiopatoģenēze, klīniskā aina, Dg, ārstēšanas principi);</w:t>
            </w:r>
          </w:p>
          <w:p w14:paraId="67393613" w14:textId="303007FE" w:rsidR="00D36214" w:rsidRPr="00367B4D" w:rsidRDefault="00D36214" w:rsidP="00367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Diskusija.</w:t>
            </w:r>
          </w:p>
        </w:tc>
        <w:tc>
          <w:tcPr>
            <w:tcW w:w="2126" w:type="dxa"/>
          </w:tcPr>
          <w:p w14:paraId="18DC6D97" w14:textId="75878133" w:rsidR="00D36214" w:rsidRPr="00367B4D" w:rsidRDefault="00367B4D" w:rsidP="008363E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Gunta Zirnīte</w:t>
            </w:r>
          </w:p>
        </w:tc>
      </w:tr>
      <w:tr w:rsidR="002E6FA9" w:rsidRPr="00367B4D" w14:paraId="4A37C3E7" w14:textId="77777777" w:rsidTr="006D434D">
        <w:tc>
          <w:tcPr>
            <w:tcW w:w="1773" w:type="dxa"/>
          </w:tcPr>
          <w:p w14:paraId="36EB9C29" w14:textId="6367A227" w:rsidR="002E6FA9" w:rsidRPr="00367B4D" w:rsidRDefault="002E6FA9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214" w:rsidRPr="00367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 – 1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65D" w:rsidRPr="00367B4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07D2A20C" w14:textId="77777777" w:rsidR="002E6FA9" w:rsidRPr="00367B4D" w:rsidRDefault="002E6FA9" w:rsidP="0091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18A56B2B" w14:textId="6AFAF56E" w:rsidR="007476DE" w:rsidRPr="00367B4D" w:rsidRDefault="007476DE" w:rsidP="007476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>Darbs grupās</w:t>
            </w:r>
            <w:r w:rsidR="00367B4D"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Situāciju uzdevumi </w:t>
            </w:r>
          </w:p>
          <w:p w14:paraId="0AB0C641" w14:textId="73953F51" w:rsidR="00367B4D" w:rsidRPr="00367B4D" w:rsidRDefault="007476DE" w:rsidP="007476D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Patstāvīgais darbs </w:t>
            </w:r>
          </w:p>
          <w:p w14:paraId="1D0D19C1" w14:textId="3C571389" w:rsidR="002E6FA9" w:rsidRPr="00367B4D" w:rsidRDefault="00367B4D" w:rsidP="007476D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7476DE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ārrunas par rezultātie</w:t>
            </w:r>
            <w:r w:rsidR="00951BC9"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26" w:type="dxa"/>
          </w:tcPr>
          <w:p w14:paraId="1AA1BF62" w14:textId="77777777" w:rsidR="002E6FA9" w:rsidRPr="00367B4D" w:rsidRDefault="007476DE" w:rsidP="00910A3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Gunta Zirnīte</w:t>
            </w:r>
          </w:p>
        </w:tc>
      </w:tr>
    </w:tbl>
    <w:p w14:paraId="5B397C75" w14:textId="6631326E" w:rsidR="002458B4" w:rsidRDefault="002458B4"/>
    <w:p w14:paraId="79F62112" w14:textId="77777777" w:rsidR="002458B4" w:rsidRDefault="002458B4">
      <w:r>
        <w:br w:type="page"/>
      </w:r>
    </w:p>
    <w:tbl>
      <w:tblPr>
        <w:tblStyle w:val="TableGrid"/>
        <w:tblW w:w="10837" w:type="dxa"/>
        <w:tblInd w:w="-1090" w:type="dxa"/>
        <w:tblLook w:val="04A0" w:firstRow="1" w:lastRow="0" w:firstColumn="1" w:lastColumn="0" w:noHBand="0" w:noVBand="1"/>
      </w:tblPr>
      <w:tblGrid>
        <w:gridCol w:w="1773"/>
        <w:gridCol w:w="6938"/>
        <w:gridCol w:w="2126"/>
      </w:tblGrid>
      <w:tr w:rsidR="002458B4" w:rsidRPr="002458B4" w14:paraId="1C90F2D8" w14:textId="77777777" w:rsidTr="006D434D">
        <w:tc>
          <w:tcPr>
            <w:tcW w:w="1773" w:type="dxa"/>
          </w:tcPr>
          <w:p w14:paraId="65BD79CF" w14:textId="26AA7EC8" w:rsidR="002458B4" w:rsidRPr="002458B4" w:rsidRDefault="002458B4" w:rsidP="002458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Laiks</w:t>
            </w:r>
          </w:p>
        </w:tc>
        <w:tc>
          <w:tcPr>
            <w:tcW w:w="6938" w:type="dxa"/>
          </w:tcPr>
          <w:p w14:paraId="30F6DD8E" w14:textId="75CE7EA4" w:rsidR="002458B4" w:rsidRPr="002458B4" w:rsidRDefault="002458B4" w:rsidP="002458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Tēma</w:t>
            </w:r>
          </w:p>
        </w:tc>
        <w:tc>
          <w:tcPr>
            <w:tcW w:w="2126" w:type="dxa"/>
          </w:tcPr>
          <w:p w14:paraId="099E64E2" w14:textId="0DDD5E6E" w:rsidR="002458B4" w:rsidRPr="002458B4" w:rsidRDefault="002458B4" w:rsidP="002458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Lektors</w:t>
            </w:r>
          </w:p>
        </w:tc>
      </w:tr>
      <w:tr w:rsidR="006D434D" w:rsidRPr="002458B4" w14:paraId="07DD62F7" w14:textId="77777777" w:rsidTr="006D434D">
        <w:tc>
          <w:tcPr>
            <w:tcW w:w="10837" w:type="dxa"/>
            <w:gridSpan w:val="3"/>
          </w:tcPr>
          <w:p w14:paraId="44AEFAEE" w14:textId="23DEF989" w:rsidR="006D434D" w:rsidRPr="002458B4" w:rsidRDefault="002458B4" w:rsidP="002458B4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="0093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="006D434D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iena</w:t>
            </w:r>
            <w:r w:rsidR="00D36214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8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C91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930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285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septembris</w:t>
            </w:r>
            <w:r w:rsidR="00636F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36214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96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36214" w:rsidRPr="00245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6D434D" w:rsidRPr="00367B4D" w14:paraId="55932CBA" w14:textId="77777777" w:rsidTr="006D434D">
        <w:tc>
          <w:tcPr>
            <w:tcW w:w="1773" w:type="dxa"/>
          </w:tcPr>
          <w:p w14:paraId="532A63CA" w14:textId="77777777" w:rsidR="006D434D" w:rsidRPr="00367B4D" w:rsidRDefault="006D434D" w:rsidP="005743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</w:p>
          <w:p w14:paraId="1C430FDB" w14:textId="77777777" w:rsidR="006D434D" w:rsidRPr="00367B4D" w:rsidRDefault="006D434D" w:rsidP="005743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(90 min)</w:t>
            </w:r>
          </w:p>
        </w:tc>
        <w:tc>
          <w:tcPr>
            <w:tcW w:w="6938" w:type="dxa"/>
          </w:tcPr>
          <w:p w14:paraId="53C4055F" w14:textId="77777777" w:rsidR="006D434D" w:rsidRPr="00367B4D" w:rsidRDefault="006D434D" w:rsidP="00367B4D">
            <w:pPr>
              <w:pStyle w:val="ListParagraph"/>
              <w:ind w:left="0"/>
              <w:rPr>
                <w:b/>
                <w:bCs/>
              </w:rPr>
            </w:pPr>
            <w:r w:rsidRPr="00367B4D">
              <w:rPr>
                <w:b/>
                <w:bCs/>
              </w:rPr>
              <w:t>Uztura bagātinātāju izvēles pamatojums;</w:t>
            </w:r>
          </w:p>
          <w:p w14:paraId="220EEBEC" w14:textId="77777777" w:rsidR="006D434D" w:rsidRPr="00367B4D" w:rsidRDefault="006D434D" w:rsidP="00574301">
            <w:pPr>
              <w:pStyle w:val="ListParagraph"/>
              <w:ind w:left="0"/>
            </w:pPr>
            <w:r w:rsidRPr="00367B4D">
              <w:t>Normatīvais regulējums, Veselīguma norādes, Pētījumu apskats par uztura paradumiem un uztura bagātinātāju lietošanas paradumiem. Uztura bagātinātāju droša un racionāla lietošana.</w:t>
            </w:r>
          </w:p>
          <w:p w14:paraId="317D917B" w14:textId="77777777" w:rsidR="006D434D" w:rsidRPr="00FF345B" w:rsidRDefault="006D434D" w:rsidP="00574301">
            <w:pPr>
              <w:pStyle w:val="ListParagraph"/>
              <w:ind w:left="0"/>
              <w:rPr>
                <w:iCs/>
              </w:rPr>
            </w:pPr>
            <w:r w:rsidRPr="00FF345B">
              <w:rPr>
                <w:iCs/>
              </w:rPr>
              <w:t>Diskusija.</w:t>
            </w:r>
          </w:p>
        </w:tc>
        <w:tc>
          <w:tcPr>
            <w:tcW w:w="2126" w:type="dxa"/>
          </w:tcPr>
          <w:p w14:paraId="3942DFDE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Renāte Šukele</w:t>
            </w:r>
          </w:p>
        </w:tc>
      </w:tr>
      <w:tr w:rsidR="006D434D" w:rsidRPr="00367B4D" w14:paraId="0F0AF5B2" w14:textId="77777777" w:rsidTr="006D434D">
        <w:tc>
          <w:tcPr>
            <w:tcW w:w="1773" w:type="dxa"/>
          </w:tcPr>
          <w:p w14:paraId="0A27B6B0" w14:textId="5B944B8C" w:rsidR="006D434D" w:rsidRPr="00367B4D" w:rsidRDefault="006D434D" w:rsidP="005743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10.30 -1</w:t>
            </w:r>
            <w:r w:rsid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</w:p>
          <w:p w14:paraId="30982C9E" w14:textId="77777777" w:rsidR="006D434D" w:rsidRPr="00367B4D" w:rsidRDefault="006D434D" w:rsidP="0057430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14:paraId="58F48975" w14:textId="028D5C66" w:rsidR="006D434D" w:rsidRPr="00367B4D" w:rsidRDefault="00951BC9" w:rsidP="00574301">
            <w:pPr>
              <w:pStyle w:val="NoSpacing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Pārtraukums</w:t>
            </w:r>
          </w:p>
        </w:tc>
        <w:tc>
          <w:tcPr>
            <w:tcW w:w="2126" w:type="dxa"/>
          </w:tcPr>
          <w:p w14:paraId="384A2219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D" w:rsidRPr="00367B4D" w14:paraId="1210ECEC" w14:textId="77777777" w:rsidTr="006D434D">
        <w:tc>
          <w:tcPr>
            <w:tcW w:w="1773" w:type="dxa"/>
          </w:tcPr>
          <w:p w14:paraId="3280749F" w14:textId="27B47035" w:rsidR="006D434D" w:rsidRPr="00367B4D" w:rsidRDefault="006D434D" w:rsidP="00574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FF3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FF3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00</w:t>
            </w: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–12.</w:t>
            </w:r>
            <w:r w:rsidR="00FF345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  <w:p w14:paraId="0506D221" w14:textId="77777777" w:rsidR="006D434D" w:rsidRPr="00367B4D" w:rsidRDefault="006D434D" w:rsidP="005743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67B4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(90 min)</w:t>
            </w:r>
          </w:p>
        </w:tc>
        <w:tc>
          <w:tcPr>
            <w:tcW w:w="6938" w:type="dxa"/>
          </w:tcPr>
          <w:p w14:paraId="71B7F1B6" w14:textId="77777777" w:rsidR="006D434D" w:rsidRPr="00367B4D" w:rsidRDefault="006D434D" w:rsidP="00FF345B">
            <w:pPr>
              <w:pStyle w:val="ListParagraph"/>
              <w:ind w:left="0"/>
            </w:pPr>
            <w:r w:rsidRPr="00367B4D">
              <w:rPr>
                <w:b/>
                <w:bCs/>
              </w:rPr>
              <w:t>Pamata uzturvielu racionāla izmantošana bērniem dažādās vecuma grupās un to devas</w:t>
            </w:r>
            <w:r w:rsidRPr="00367B4D">
              <w:t>;</w:t>
            </w:r>
          </w:p>
          <w:p w14:paraId="38C0B606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iCs/>
                <w:sz w:val="24"/>
                <w:szCs w:val="24"/>
              </w:rPr>
              <w:t>Vitamīni, mikroelementi, minerālvielas, aminoskābes, taukskābes, probiotikas un prebiotikas</w:t>
            </w:r>
          </w:p>
          <w:p w14:paraId="5413D507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iCs/>
                <w:sz w:val="24"/>
                <w:szCs w:val="24"/>
              </w:rPr>
              <w:t>Diskusija.</w:t>
            </w:r>
          </w:p>
        </w:tc>
        <w:tc>
          <w:tcPr>
            <w:tcW w:w="2126" w:type="dxa"/>
          </w:tcPr>
          <w:p w14:paraId="17E04703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Renāte Šukele</w:t>
            </w:r>
          </w:p>
        </w:tc>
      </w:tr>
      <w:tr w:rsidR="00FF345B" w:rsidRPr="00367B4D" w14:paraId="499B3A5C" w14:textId="77777777" w:rsidTr="00FF345B">
        <w:trPr>
          <w:trHeight w:val="516"/>
        </w:trPr>
        <w:tc>
          <w:tcPr>
            <w:tcW w:w="1773" w:type="dxa"/>
          </w:tcPr>
          <w:p w14:paraId="11F4F8DC" w14:textId="1EC51439" w:rsidR="00FF345B" w:rsidRPr="00FF345B" w:rsidRDefault="00FF345B" w:rsidP="00FF3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38" w:type="dxa"/>
          </w:tcPr>
          <w:p w14:paraId="7DFBB828" w14:textId="76E64780" w:rsidR="00FF345B" w:rsidRPr="00FF345B" w:rsidRDefault="00FF345B" w:rsidP="00FF345B">
            <w:pPr>
              <w:pStyle w:val="ListParagraph"/>
              <w:ind w:left="0"/>
              <w:rPr>
                <w:b/>
                <w:bCs/>
              </w:rPr>
            </w:pPr>
            <w:r w:rsidRPr="00FF345B">
              <w:rPr>
                <w:b/>
                <w:bCs/>
              </w:rPr>
              <w:t>Pārtraukums</w:t>
            </w:r>
          </w:p>
        </w:tc>
        <w:tc>
          <w:tcPr>
            <w:tcW w:w="2126" w:type="dxa"/>
          </w:tcPr>
          <w:p w14:paraId="3CD4C520" w14:textId="77777777" w:rsidR="00FF345B" w:rsidRPr="00367B4D" w:rsidRDefault="00FF345B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D" w:rsidRPr="00367B4D" w14:paraId="3A6E6CB1" w14:textId="77777777" w:rsidTr="006D434D">
        <w:tc>
          <w:tcPr>
            <w:tcW w:w="1773" w:type="dxa"/>
          </w:tcPr>
          <w:p w14:paraId="14580F62" w14:textId="1A325AD6" w:rsidR="00FF345B" w:rsidRDefault="00FF345B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14.15</w:t>
            </w:r>
          </w:p>
          <w:p w14:paraId="629B9F80" w14:textId="7B52035D" w:rsidR="006D434D" w:rsidRPr="00367B4D" w:rsidRDefault="006D434D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0742CEDD" w14:textId="77777777" w:rsidR="006D434D" w:rsidRPr="00367B4D" w:rsidRDefault="006D434D" w:rsidP="00FF345B">
            <w:pPr>
              <w:pStyle w:val="ListParagraph"/>
              <w:ind w:left="0"/>
              <w:rPr>
                <w:b/>
                <w:bCs/>
              </w:rPr>
            </w:pPr>
            <w:r w:rsidRPr="00367B4D">
              <w:rPr>
                <w:b/>
                <w:bCs/>
              </w:rPr>
              <w:t>Ārstniecības augu pielietošanas iespējas un droša lietošana bērniem;</w:t>
            </w:r>
          </w:p>
          <w:p w14:paraId="2906B433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Ārstniecības augi, kurus tradicionāli izmanto pret caureju, aizcietējumiem, pret vēdera pūšanos un gāzēm</w:t>
            </w:r>
          </w:p>
          <w:p w14:paraId="013BE00C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Šķiedrvielu avoti. </w:t>
            </w:r>
          </w:p>
          <w:p w14:paraId="710EE5D4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Diskusija.</w:t>
            </w:r>
          </w:p>
        </w:tc>
        <w:tc>
          <w:tcPr>
            <w:tcW w:w="2126" w:type="dxa"/>
          </w:tcPr>
          <w:p w14:paraId="6393DC11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Renāte Šukele</w:t>
            </w:r>
          </w:p>
        </w:tc>
      </w:tr>
      <w:tr w:rsidR="006D434D" w:rsidRPr="00367B4D" w14:paraId="7F48CEE0" w14:textId="77777777" w:rsidTr="006D434D">
        <w:tc>
          <w:tcPr>
            <w:tcW w:w="1773" w:type="dxa"/>
          </w:tcPr>
          <w:p w14:paraId="6AA5DD66" w14:textId="76AFA196" w:rsidR="006D434D" w:rsidRPr="00367B4D" w:rsidRDefault="006D434D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34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4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5– 15.00</w:t>
            </w:r>
          </w:p>
          <w:p w14:paraId="782B819F" w14:textId="77777777" w:rsidR="006D434D" w:rsidRPr="00367B4D" w:rsidRDefault="006D434D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(45 min)</w:t>
            </w:r>
          </w:p>
        </w:tc>
        <w:tc>
          <w:tcPr>
            <w:tcW w:w="6938" w:type="dxa"/>
          </w:tcPr>
          <w:p w14:paraId="38189C5C" w14:textId="77777777" w:rsidR="006D434D" w:rsidRPr="00367B4D" w:rsidRDefault="006D434D" w:rsidP="00FF345B">
            <w:pPr>
              <w:pStyle w:val="ListParagraph"/>
              <w:ind w:left="0"/>
              <w:rPr>
                <w:b/>
                <w:bCs/>
              </w:rPr>
            </w:pPr>
            <w:r w:rsidRPr="00367B4D">
              <w:rPr>
                <w:b/>
                <w:bCs/>
              </w:rPr>
              <w:t>Uztura bagātinātāju izmantošanas iespējas dažādos veselības stāvokļos;</w:t>
            </w:r>
          </w:p>
          <w:p w14:paraId="233348F8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Vitamīni, minerālvielas un  mikroelementi, kuri pietrūkst saistībā ar barības vielu uzsūkšanās traucējumiem un/vai izslēgšanas no diētas, to papildus uzņemšanas iespējas ar uztura bagātinātājiem pie celiakcijas, laktozes nepanesības, fruktozes nepanesība, galaktozēmija, to izraisītas komplikācijas.</w:t>
            </w:r>
          </w:p>
          <w:p w14:paraId="018319E1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Diskusija.</w:t>
            </w:r>
          </w:p>
        </w:tc>
        <w:tc>
          <w:tcPr>
            <w:tcW w:w="2126" w:type="dxa"/>
          </w:tcPr>
          <w:p w14:paraId="1D8480AB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Renāte Šukele</w:t>
            </w:r>
          </w:p>
        </w:tc>
      </w:tr>
      <w:tr w:rsidR="00FF345B" w:rsidRPr="00367B4D" w14:paraId="6FB43130" w14:textId="77777777" w:rsidTr="006D434D">
        <w:tc>
          <w:tcPr>
            <w:tcW w:w="1773" w:type="dxa"/>
          </w:tcPr>
          <w:p w14:paraId="46F3155F" w14:textId="608568D2" w:rsidR="00FF345B" w:rsidRPr="00367B4D" w:rsidRDefault="00FF345B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– 15.30 </w:t>
            </w:r>
          </w:p>
        </w:tc>
        <w:tc>
          <w:tcPr>
            <w:tcW w:w="6938" w:type="dxa"/>
          </w:tcPr>
          <w:p w14:paraId="7687B9BF" w14:textId="689192A8" w:rsidR="00FF345B" w:rsidRPr="00367B4D" w:rsidRDefault="00FF345B" w:rsidP="00FF345B">
            <w:pPr>
              <w:pStyle w:val="ListParagraph"/>
              <w:ind w:left="0"/>
              <w:rPr>
                <w:b/>
                <w:bCs/>
              </w:rPr>
            </w:pPr>
            <w:r w:rsidRPr="00FF345B">
              <w:rPr>
                <w:b/>
                <w:bCs/>
              </w:rPr>
              <w:t>Pārtraukums</w:t>
            </w:r>
          </w:p>
        </w:tc>
        <w:tc>
          <w:tcPr>
            <w:tcW w:w="2126" w:type="dxa"/>
          </w:tcPr>
          <w:p w14:paraId="4FEDC53A" w14:textId="77777777" w:rsidR="00FF345B" w:rsidRPr="00367B4D" w:rsidRDefault="00FF345B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34D" w:rsidRPr="00367B4D" w14:paraId="5264CDDE" w14:textId="77777777" w:rsidTr="006D434D">
        <w:tc>
          <w:tcPr>
            <w:tcW w:w="1773" w:type="dxa"/>
          </w:tcPr>
          <w:p w14:paraId="273559E8" w14:textId="24180B42" w:rsidR="006D434D" w:rsidRPr="00367B4D" w:rsidRDefault="006D434D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F34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F34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4C6D227" w14:textId="7DE8463E" w:rsidR="006D434D" w:rsidRPr="00367B4D" w:rsidRDefault="006D434D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F345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</w:tc>
        <w:tc>
          <w:tcPr>
            <w:tcW w:w="6938" w:type="dxa"/>
          </w:tcPr>
          <w:p w14:paraId="2DCE9AAE" w14:textId="77777777" w:rsidR="00FF345B" w:rsidRPr="00367B4D" w:rsidRDefault="00FF345B" w:rsidP="00FF3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Darbs grupās - </w:t>
            </w: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 xml:space="preserve">Situāciju uzdevumi </w:t>
            </w:r>
          </w:p>
          <w:p w14:paraId="6A10C6B2" w14:textId="77777777" w:rsidR="00FF345B" w:rsidRPr="00367B4D" w:rsidRDefault="00FF345B" w:rsidP="00FF345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Patstāvīgais darbs </w:t>
            </w:r>
          </w:p>
          <w:p w14:paraId="476359FD" w14:textId="20A3916D" w:rsidR="006D434D" w:rsidRPr="00367B4D" w:rsidRDefault="00FF345B" w:rsidP="00FF345B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Pārrunas par rezultātiem</w:t>
            </w:r>
          </w:p>
        </w:tc>
        <w:tc>
          <w:tcPr>
            <w:tcW w:w="2126" w:type="dxa"/>
          </w:tcPr>
          <w:p w14:paraId="498019A6" w14:textId="77777777" w:rsidR="006D434D" w:rsidRPr="00367B4D" w:rsidRDefault="006D434D" w:rsidP="0057430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67B4D">
              <w:rPr>
                <w:rFonts w:ascii="Times New Roman" w:hAnsi="Times New Roman" w:cs="Times New Roman"/>
                <w:sz w:val="24"/>
                <w:szCs w:val="24"/>
              </w:rPr>
              <w:t>Renāte Šukele</w:t>
            </w:r>
          </w:p>
        </w:tc>
      </w:tr>
    </w:tbl>
    <w:p w14:paraId="003AB251" w14:textId="77777777" w:rsidR="004552E3" w:rsidRDefault="004552E3"/>
    <w:sectPr w:rsidR="004552E3" w:rsidSect="00DF5ED4"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99C94" w14:textId="77777777" w:rsidR="00DA2842" w:rsidRDefault="00DA2842" w:rsidP="00CF6647">
      <w:pPr>
        <w:spacing w:after="0" w:line="240" w:lineRule="auto"/>
      </w:pPr>
      <w:r>
        <w:separator/>
      </w:r>
    </w:p>
  </w:endnote>
  <w:endnote w:type="continuationSeparator" w:id="0">
    <w:p w14:paraId="4CDB8512" w14:textId="77777777" w:rsidR="00DA2842" w:rsidRDefault="00DA2842" w:rsidP="00CF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3269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4B933" w14:textId="32D25195" w:rsidR="00CF6647" w:rsidRDefault="00CF66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3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8291A4" w14:textId="77777777" w:rsidR="00CF6647" w:rsidRDefault="00CF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C98B3" w14:textId="77777777" w:rsidR="00DA2842" w:rsidRDefault="00DA2842" w:rsidP="00CF6647">
      <w:pPr>
        <w:spacing w:after="0" w:line="240" w:lineRule="auto"/>
      </w:pPr>
      <w:r>
        <w:separator/>
      </w:r>
    </w:p>
  </w:footnote>
  <w:footnote w:type="continuationSeparator" w:id="0">
    <w:p w14:paraId="6F6A2DA0" w14:textId="77777777" w:rsidR="00DA2842" w:rsidRDefault="00DA2842" w:rsidP="00CF6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BEC"/>
    <w:multiLevelType w:val="hybridMultilevel"/>
    <w:tmpl w:val="D5664394"/>
    <w:lvl w:ilvl="0" w:tplc="CC6867A6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85E06"/>
    <w:multiLevelType w:val="hybridMultilevel"/>
    <w:tmpl w:val="C7EE8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0669D"/>
    <w:multiLevelType w:val="hybridMultilevel"/>
    <w:tmpl w:val="FEE68B70"/>
    <w:lvl w:ilvl="0" w:tplc="41FCCF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A9"/>
    <w:rsid w:val="000136D3"/>
    <w:rsid w:val="00042ED3"/>
    <w:rsid w:val="00084B39"/>
    <w:rsid w:val="000B000D"/>
    <w:rsid w:val="000F452B"/>
    <w:rsid w:val="00177819"/>
    <w:rsid w:val="001F5162"/>
    <w:rsid w:val="002458B4"/>
    <w:rsid w:val="002858A4"/>
    <w:rsid w:val="002C4BCA"/>
    <w:rsid w:val="002E16BA"/>
    <w:rsid w:val="002E6FA9"/>
    <w:rsid w:val="00336C68"/>
    <w:rsid w:val="0036535C"/>
    <w:rsid w:val="00367B4D"/>
    <w:rsid w:val="004552E3"/>
    <w:rsid w:val="00464AFD"/>
    <w:rsid w:val="004E785C"/>
    <w:rsid w:val="00523EE7"/>
    <w:rsid w:val="00605CDB"/>
    <w:rsid w:val="00636FFD"/>
    <w:rsid w:val="006D434D"/>
    <w:rsid w:val="007476DE"/>
    <w:rsid w:val="007B49A0"/>
    <w:rsid w:val="007C023D"/>
    <w:rsid w:val="008363E5"/>
    <w:rsid w:val="00842348"/>
    <w:rsid w:val="00872BBD"/>
    <w:rsid w:val="008B115D"/>
    <w:rsid w:val="0093091B"/>
    <w:rsid w:val="00951BC9"/>
    <w:rsid w:val="00967188"/>
    <w:rsid w:val="00A46292"/>
    <w:rsid w:val="00A6765D"/>
    <w:rsid w:val="00AC4AED"/>
    <w:rsid w:val="00B335B3"/>
    <w:rsid w:val="00BA02E7"/>
    <w:rsid w:val="00C10FE9"/>
    <w:rsid w:val="00C91DE6"/>
    <w:rsid w:val="00CA7A1A"/>
    <w:rsid w:val="00CE61A0"/>
    <w:rsid w:val="00CF360B"/>
    <w:rsid w:val="00CF6647"/>
    <w:rsid w:val="00D36214"/>
    <w:rsid w:val="00D56F88"/>
    <w:rsid w:val="00D7579D"/>
    <w:rsid w:val="00DA2842"/>
    <w:rsid w:val="00EC7004"/>
    <w:rsid w:val="00ED0BC6"/>
    <w:rsid w:val="00F351A2"/>
    <w:rsid w:val="00F9410D"/>
    <w:rsid w:val="00FF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DBE0"/>
  <w15:docId w15:val="{03089B33-7866-421A-AC67-CCB1355F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2E6FA9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2E6FA9"/>
  </w:style>
  <w:style w:type="character" w:styleId="Hyperlink">
    <w:name w:val="Hyperlink"/>
    <w:basedOn w:val="DefaultParagraphFont"/>
    <w:uiPriority w:val="99"/>
    <w:unhideWhenUsed/>
    <w:rsid w:val="002E6FA9"/>
    <w:rPr>
      <w:color w:val="0563C1" w:themeColor="hyperlink"/>
      <w:u w:val="single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7476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7476D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F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647"/>
  </w:style>
  <w:style w:type="paragraph" w:styleId="Footer">
    <w:name w:val="footer"/>
    <w:basedOn w:val="Normal"/>
    <w:link w:val="FooterChar"/>
    <w:uiPriority w:val="99"/>
    <w:unhideWhenUsed/>
    <w:rsid w:val="00CF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3010</Words>
  <Characters>1717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RAKUS stacionārs Biķernieki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 Gūtmane</dc:creator>
  <cp:lastModifiedBy>Guntis Meisters</cp:lastModifiedBy>
  <cp:revision>2</cp:revision>
  <dcterms:created xsi:type="dcterms:W3CDTF">2022-08-03T07:56:00Z</dcterms:created>
  <dcterms:modified xsi:type="dcterms:W3CDTF">2022-08-03T07:56:00Z</dcterms:modified>
</cp:coreProperties>
</file>